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FEF8" w14:textId="77777777" w:rsidR="00FB1E2C" w:rsidRPr="00377BBF" w:rsidRDefault="00FB1E2C" w:rsidP="00FB1E2C">
      <w:pPr>
        <w:pStyle w:val="ListParagraph"/>
        <w:spacing w:after="0"/>
        <w:ind w:left="0"/>
        <w:rPr>
          <w:rFonts w:asciiTheme="majorHAnsi" w:hAnsiTheme="majorHAnsi" w:cs="Times New Roman"/>
          <w:b/>
          <w:sz w:val="24"/>
          <w:szCs w:val="24"/>
        </w:rPr>
      </w:pPr>
      <w:r w:rsidRPr="00377BBF">
        <w:rPr>
          <w:rFonts w:asciiTheme="majorHAnsi" w:hAnsiTheme="majorHAnsi" w:cs="Times New Roman"/>
          <w:b/>
          <w:sz w:val="24"/>
          <w:szCs w:val="24"/>
        </w:rPr>
        <w:t>Draft Somerville Zoning Ordinance, January 22, 2015</w:t>
      </w:r>
    </w:p>
    <w:p w14:paraId="730440B7" w14:textId="77777777" w:rsidR="00FB1E2C" w:rsidRPr="00377BBF" w:rsidRDefault="00FB1E2C" w:rsidP="00FB1E2C">
      <w:pPr>
        <w:pStyle w:val="ListParagraph"/>
        <w:spacing w:after="0"/>
        <w:ind w:left="0"/>
        <w:rPr>
          <w:rFonts w:asciiTheme="majorHAnsi" w:hAnsiTheme="majorHAnsi" w:cs="Times New Roman"/>
          <w:b/>
          <w:sz w:val="24"/>
          <w:szCs w:val="24"/>
        </w:rPr>
      </w:pPr>
      <w:r w:rsidRPr="00377BBF">
        <w:rPr>
          <w:rFonts w:asciiTheme="majorHAnsi" w:hAnsiTheme="majorHAnsi" w:cs="Times New Roman"/>
          <w:b/>
          <w:sz w:val="24"/>
          <w:szCs w:val="24"/>
        </w:rPr>
        <w:t xml:space="preserve">Zoning Language pertaining to Fresh Food Markets or Grocery Stores. </w:t>
      </w:r>
    </w:p>
    <w:p w14:paraId="05339768" w14:textId="77777777" w:rsidR="00FB1E2C" w:rsidRDefault="00FB1E2C" w:rsidP="00FB1E2C">
      <w:pPr>
        <w:pStyle w:val="ListParagraph"/>
        <w:spacing w:after="0"/>
        <w:ind w:left="0"/>
        <w:rPr>
          <w:rFonts w:asciiTheme="majorHAnsi" w:hAnsiTheme="majorHAnsi" w:cs="Times New Roman"/>
          <w:sz w:val="24"/>
          <w:szCs w:val="24"/>
        </w:rPr>
      </w:pPr>
    </w:p>
    <w:p w14:paraId="27442C0D" w14:textId="4D06EB38" w:rsidR="00377BBF" w:rsidRPr="00BF2204" w:rsidRDefault="00377BBF" w:rsidP="00FB1E2C">
      <w:pPr>
        <w:pStyle w:val="ListParagraph"/>
        <w:spacing w:after="0"/>
        <w:ind w:left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[Relevant excerpt regarding building types. Note: most zoning codes in Massachusetts do not regulate by building type]</w:t>
      </w:r>
      <w:r w:rsidR="00286D21">
        <w:rPr>
          <w:rFonts w:asciiTheme="majorHAnsi" w:hAnsiTheme="majorHAnsi" w:cs="Times New Roman"/>
          <w:sz w:val="24"/>
          <w:szCs w:val="24"/>
        </w:rPr>
        <w:t>:</w:t>
      </w:r>
    </w:p>
    <w:p w14:paraId="1CF2C353" w14:textId="1D7A9817" w:rsidR="00FB1E2C" w:rsidRPr="008115D6" w:rsidRDefault="00FB1E2C" w:rsidP="00377BBF">
      <w:pPr>
        <w:pStyle w:val="ListParagraph"/>
        <w:spacing w:after="0"/>
        <w:ind w:left="0"/>
        <w:rPr>
          <w:rFonts w:asciiTheme="majorHAnsi" w:hAnsiTheme="majorHAnsi"/>
          <w:sz w:val="24"/>
          <w:szCs w:val="24"/>
        </w:rPr>
      </w:pPr>
      <w:r w:rsidRPr="008115D6">
        <w:rPr>
          <w:rFonts w:asciiTheme="majorHAnsi" w:hAnsiTheme="majorHAnsi"/>
          <w:sz w:val="24"/>
          <w:szCs w:val="24"/>
        </w:rPr>
        <w:t xml:space="preserve">Building Type Limitations </w:t>
      </w:r>
      <w:r w:rsidR="00286D21" w:rsidRPr="008115D6">
        <w:rPr>
          <w:rFonts w:asciiTheme="majorHAnsi" w:hAnsiTheme="majorHAnsi"/>
          <w:sz w:val="24"/>
          <w:szCs w:val="24"/>
        </w:rPr>
        <w:t>[applies to most Somerville city districts]</w:t>
      </w:r>
    </w:p>
    <w:p w14:paraId="283C160E" w14:textId="77777777" w:rsidR="00FB1E2C" w:rsidRDefault="00FB1E2C" w:rsidP="00377BBF">
      <w:pPr>
        <w:pStyle w:val="ListParagraph"/>
        <w:spacing w:after="0"/>
        <w:ind w:left="0"/>
        <w:rPr>
          <w:rFonts w:asciiTheme="majorHAnsi" w:hAnsiTheme="majorHAnsi"/>
          <w:i/>
        </w:rPr>
      </w:pPr>
      <w:proofErr w:type="spellStart"/>
      <w:r w:rsidRPr="00BF2204">
        <w:rPr>
          <w:rFonts w:asciiTheme="majorHAnsi" w:hAnsiTheme="majorHAnsi"/>
          <w:i/>
        </w:rPr>
        <w:t>i</w:t>
      </w:r>
      <w:proofErr w:type="spellEnd"/>
      <w:r w:rsidRPr="00BF2204">
        <w:rPr>
          <w:rFonts w:asciiTheme="majorHAnsi" w:hAnsiTheme="majorHAnsi"/>
          <w:i/>
        </w:rPr>
        <w:t xml:space="preserve">. A Shop House or Neighborhood Store building type may be established according to the following: </w:t>
      </w:r>
    </w:p>
    <w:p w14:paraId="2426D4D4" w14:textId="77777777" w:rsidR="00FB1E2C" w:rsidRDefault="00FB1E2C" w:rsidP="00377BBF">
      <w:pPr>
        <w:pStyle w:val="ListParagraph"/>
        <w:spacing w:after="0"/>
        <w:ind w:left="0" w:firstLine="720"/>
        <w:rPr>
          <w:rFonts w:asciiTheme="majorHAnsi" w:hAnsiTheme="majorHAnsi"/>
          <w:i/>
        </w:rPr>
      </w:pPr>
      <w:r w:rsidRPr="00BF2204">
        <w:rPr>
          <w:rFonts w:asciiTheme="majorHAnsi" w:hAnsiTheme="majorHAnsi"/>
          <w:i/>
        </w:rPr>
        <w:t>a). Location</w:t>
      </w:r>
    </w:p>
    <w:p w14:paraId="00BF9645" w14:textId="77777777" w:rsidR="00FB1E2C" w:rsidRDefault="00FB1E2C" w:rsidP="00377BBF">
      <w:pPr>
        <w:pStyle w:val="ListParagraph"/>
        <w:spacing w:after="0"/>
        <w:ind w:firstLine="720"/>
        <w:rPr>
          <w:rFonts w:asciiTheme="majorHAnsi" w:hAnsiTheme="majorHAnsi"/>
          <w:i/>
        </w:rPr>
      </w:pPr>
      <w:r w:rsidRPr="00BF2204">
        <w:rPr>
          <w:rFonts w:asciiTheme="majorHAnsi" w:hAnsiTheme="majorHAnsi"/>
          <w:i/>
        </w:rPr>
        <w:t xml:space="preserve"> </w:t>
      </w:r>
      <w:proofErr w:type="spellStart"/>
      <w:r w:rsidRPr="00BF2204">
        <w:rPr>
          <w:rFonts w:asciiTheme="majorHAnsi" w:hAnsiTheme="majorHAnsi"/>
          <w:i/>
        </w:rPr>
        <w:t>i</w:t>
      </w:r>
      <w:proofErr w:type="spellEnd"/>
      <w:r w:rsidRPr="00BF2204">
        <w:rPr>
          <w:rFonts w:asciiTheme="majorHAnsi" w:hAnsiTheme="majorHAnsi"/>
          <w:i/>
        </w:rPr>
        <w:t xml:space="preserve">). A Shop House or Neighborhood Store is only permitted as follows: </w:t>
      </w:r>
    </w:p>
    <w:p w14:paraId="50F492F5" w14:textId="77777777" w:rsidR="00377BBF" w:rsidRP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a. On a corner lot; or </w:t>
      </w:r>
    </w:p>
    <w:p w14:paraId="51B69C31" w14:textId="77777777" w:rsidR="00377BBF" w:rsidRP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b. In any building constructed before the effective date of this ordinance for non-residential use, as established by permit records or other historical documents accepted by the Building Official. </w:t>
      </w:r>
    </w:p>
    <w:p w14:paraId="6592EB46" w14:textId="77777777" w:rsidR="00377BBF" w:rsidRDefault="00FB1E2C" w:rsidP="00377BBF">
      <w:pPr>
        <w:spacing w:after="0"/>
        <w:ind w:left="144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ii). A Shop House or Neighborhood Store is prohibited on any lot fronting onto a dead end thoroughfare. </w:t>
      </w:r>
    </w:p>
    <w:p w14:paraId="5058D6B6" w14:textId="77777777" w:rsidR="00377BBF" w:rsidRDefault="00FB1E2C" w:rsidP="00377BBF">
      <w:pPr>
        <w:spacing w:after="0"/>
        <w:ind w:left="72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b). Use Restrictions </w:t>
      </w:r>
    </w:p>
    <w:p w14:paraId="7B31EEBD" w14:textId="77777777" w:rsidR="00377BBF" w:rsidRDefault="00FB1E2C" w:rsidP="00377BBF">
      <w:pPr>
        <w:spacing w:after="0"/>
        <w:ind w:left="1440"/>
        <w:rPr>
          <w:rFonts w:asciiTheme="majorHAnsi" w:hAnsiTheme="majorHAnsi"/>
          <w:i/>
        </w:rPr>
      </w:pPr>
      <w:proofErr w:type="spellStart"/>
      <w:r w:rsidRPr="00377BBF">
        <w:rPr>
          <w:rFonts w:asciiTheme="majorHAnsi" w:hAnsiTheme="majorHAnsi"/>
          <w:i/>
        </w:rPr>
        <w:t>i</w:t>
      </w:r>
      <w:proofErr w:type="spellEnd"/>
      <w:r w:rsidRPr="00377BBF">
        <w:rPr>
          <w:rFonts w:asciiTheme="majorHAnsi" w:hAnsiTheme="majorHAnsi"/>
          <w:i/>
        </w:rPr>
        <w:t xml:space="preserve">). The use of a Shop House or Neighborhood Store building type is limited to the following use subcategories: </w:t>
      </w:r>
    </w:p>
    <w:p w14:paraId="45A0B4B5" w14:textId="77777777" w:rsid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a. Arts Sales &amp; Service </w:t>
      </w:r>
    </w:p>
    <w:p w14:paraId="41415AE5" w14:textId="77777777" w:rsid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b. Creative Studio </w:t>
      </w:r>
    </w:p>
    <w:p w14:paraId="0348E68D" w14:textId="77777777" w:rsid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c. Design Services </w:t>
      </w:r>
    </w:p>
    <w:p w14:paraId="1EC15D28" w14:textId="77777777" w:rsid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d. Consumer Goods </w:t>
      </w:r>
    </w:p>
    <w:p w14:paraId="7B1F8845" w14:textId="77777777" w:rsidR="00377BBF" w:rsidRDefault="00FB1E2C" w:rsidP="00377BBF">
      <w:pPr>
        <w:spacing w:after="0"/>
        <w:ind w:left="216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e. Fresh Food Market and/or Grocery Store </w:t>
      </w:r>
    </w:p>
    <w:p w14:paraId="03BBAD84" w14:textId="77777777" w:rsidR="00377BBF" w:rsidRDefault="00FB1E2C" w:rsidP="00377BBF">
      <w:pPr>
        <w:spacing w:after="0"/>
        <w:ind w:left="144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 xml:space="preserve">ii). The sale of alcoholic beverages for on-site consumption is prohibited. </w:t>
      </w:r>
    </w:p>
    <w:p w14:paraId="51FC4A8A" w14:textId="77777777" w:rsidR="00377BBF" w:rsidRDefault="00FB1E2C" w:rsidP="00377BBF">
      <w:pPr>
        <w:spacing w:after="0"/>
        <w:ind w:left="1440"/>
        <w:rPr>
          <w:rFonts w:asciiTheme="majorHAnsi" w:hAnsiTheme="majorHAnsi"/>
          <w:i/>
        </w:rPr>
      </w:pPr>
      <w:r w:rsidRPr="00377BBF">
        <w:rPr>
          <w:rFonts w:asciiTheme="majorHAnsi" w:hAnsiTheme="majorHAnsi"/>
          <w:i/>
        </w:rPr>
        <w:t>iii). Business operations are permitted only between the hours of 7:00am to 9:00pm</w:t>
      </w:r>
    </w:p>
    <w:p w14:paraId="56C462B4" w14:textId="77777777" w:rsidR="00FB1E2C" w:rsidRPr="00377BBF" w:rsidRDefault="00FB1E2C" w:rsidP="00377BBF">
      <w:pPr>
        <w:spacing w:after="0"/>
        <w:ind w:left="1440"/>
        <w:rPr>
          <w:rFonts w:asciiTheme="majorHAnsi" w:hAnsiTheme="majorHAnsi" w:cs="Times New Roman"/>
          <w:i/>
          <w:sz w:val="24"/>
          <w:szCs w:val="24"/>
        </w:rPr>
      </w:pPr>
      <w:r w:rsidRPr="00377BBF">
        <w:rPr>
          <w:rFonts w:asciiTheme="majorHAnsi" w:hAnsiTheme="majorHAnsi"/>
          <w:i/>
        </w:rPr>
        <w:t>.</w:t>
      </w:r>
    </w:p>
    <w:p w14:paraId="470B73AC" w14:textId="77777777" w:rsidR="00377BBF" w:rsidRDefault="00377BBF" w:rsidP="00377BBF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[Relevant excerpt from Definitions section of zoning code]</w:t>
      </w:r>
    </w:p>
    <w:p w14:paraId="1D6176FC" w14:textId="4088B02D" w:rsidR="00FB1E2C" w:rsidRPr="00BF2204" w:rsidRDefault="00FB1E2C" w:rsidP="00377BB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BF2204">
        <w:rPr>
          <w:rFonts w:asciiTheme="majorHAnsi" w:hAnsiTheme="majorHAnsi" w:cs="Times New Roman"/>
          <w:sz w:val="24"/>
          <w:szCs w:val="24"/>
        </w:rPr>
        <w:t>Definition of Fresh Food Market or Grocery Store</w:t>
      </w:r>
      <w:r w:rsidR="008115D6">
        <w:rPr>
          <w:rFonts w:asciiTheme="majorHAnsi" w:hAnsiTheme="majorHAnsi" w:cs="Times New Roman"/>
          <w:sz w:val="24"/>
          <w:szCs w:val="24"/>
        </w:rPr>
        <w:t>:</w:t>
      </w:r>
    </w:p>
    <w:p w14:paraId="3F1E71CC" w14:textId="77777777" w:rsidR="00FB1E2C" w:rsidRPr="00BF2204" w:rsidRDefault="00FB1E2C" w:rsidP="00377BBF">
      <w:pPr>
        <w:pStyle w:val="ListParagraph"/>
        <w:spacing w:after="0"/>
        <w:ind w:left="0"/>
        <w:rPr>
          <w:rFonts w:asciiTheme="majorHAnsi" w:hAnsiTheme="majorHAnsi"/>
          <w:i/>
        </w:rPr>
      </w:pPr>
      <w:r w:rsidRPr="00BF2204">
        <w:rPr>
          <w:rFonts w:asciiTheme="majorHAnsi" w:hAnsiTheme="majorHAnsi"/>
          <w:i/>
        </w:rPr>
        <w:t>Fresh Food Market or Grocery Store</w:t>
      </w:r>
      <w:r w:rsidR="00377BBF">
        <w:rPr>
          <w:rFonts w:asciiTheme="majorHAnsi" w:hAnsiTheme="majorHAnsi"/>
          <w:i/>
        </w:rPr>
        <w:t>:</w:t>
      </w:r>
      <w:r w:rsidRPr="00BF2204">
        <w:rPr>
          <w:rFonts w:asciiTheme="majorHAnsi" w:hAnsiTheme="majorHAnsi"/>
          <w:i/>
        </w:rPr>
        <w:t xml:space="preserve"> The self-service sales of food and household products including, but not limited to, fresh and prepared meat, dairy, baked goods, fresh fruits and vegetables, canned and/or frozen foods, and other regularly consumed household products. The following standards apply: </w:t>
      </w:r>
      <w:proofErr w:type="spellStart"/>
      <w:r w:rsidRPr="00BF2204">
        <w:rPr>
          <w:rFonts w:asciiTheme="majorHAnsi" w:hAnsiTheme="majorHAnsi"/>
          <w:i/>
        </w:rPr>
        <w:t>i</w:t>
      </w:r>
      <w:proofErr w:type="spellEnd"/>
      <w:r w:rsidRPr="00BF2204">
        <w:rPr>
          <w:rFonts w:asciiTheme="majorHAnsi" w:hAnsiTheme="majorHAnsi"/>
          <w:i/>
        </w:rPr>
        <w:t>. Floor area devoted to the sale of non-food items must not exceed twenty-five percent (25%) of the sales floor. ii. Ancillary prepared food and beverage service is permitted.</w:t>
      </w:r>
    </w:p>
    <w:p w14:paraId="0E006732" w14:textId="77777777" w:rsidR="00FB1E2C" w:rsidRPr="00BF2204" w:rsidRDefault="00FB1E2C" w:rsidP="00FB1E2C">
      <w:pPr>
        <w:pStyle w:val="ListParagraph"/>
        <w:spacing w:after="0"/>
        <w:ind w:left="1440"/>
        <w:rPr>
          <w:rFonts w:asciiTheme="majorHAnsi" w:hAnsiTheme="majorHAnsi"/>
        </w:rPr>
      </w:pPr>
    </w:p>
    <w:p w14:paraId="4083929A" w14:textId="77777777" w:rsidR="00FB1E2C" w:rsidRPr="00377BBF" w:rsidRDefault="00377BBF" w:rsidP="00377BBF">
      <w:pPr>
        <w:pStyle w:val="ListParagraph"/>
        <w:spacing w:after="0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[Relevant e</w:t>
      </w:r>
      <w:r w:rsidR="00FB1E2C" w:rsidRPr="00377BBF">
        <w:rPr>
          <w:rFonts w:asciiTheme="majorHAnsi" w:hAnsiTheme="majorHAnsi"/>
          <w:sz w:val="24"/>
          <w:szCs w:val="24"/>
        </w:rPr>
        <w:t>xcerpt from the Principal Use Table, specifying permitted principal uses of property in Somerville districts</w:t>
      </w:r>
      <w:r>
        <w:rPr>
          <w:rFonts w:asciiTheme="majorHAnsi" w:hAnsiTheme="majorHAnsi"/>
          <w:sz w:val="24"/>
          <w:szCs w:val="24"/>
        </w:rPr>
        <w:t>]</w:t>
      </w:r>
      <w:r w:rsidR="00FB1E2C" w:rsidRPr="00377BBF">
        <w:rPr>
          <w:rFonts w:asciiTheme="majorHAnsi" w:hAnsiTheme="majorHAnsi"/>
          <w:sz w:val="24"/>
          <w:szCs w:val="24"/>
        </w:rPr>
        <w:t xml:space="preserve">: </w:t>
      </w:r>
      <w:bookmarkStart w:id="0" w:name="_GoBack"/>
      <w:bookmarkEnd w:id="0"/>
    </w:p>
    <w:p w14:paraId="129BE295" w14:textId="77777777" w:rsidR="00FB1E2C" w:rsidRPr="00BF2204" w:rsidRDefault="00FB1E2C" w:rsidP="00FB1E2C">
      <w:pPr>
        <w:pStyle w:val="ListParagraph"/>
        <w:spacing w:after="0"/>
        <w:rPr>
          <w:rFonts w:asciiTheme="majorHAnsi" w:hAnsiTheme="majorHAnsi"/>
        </w:rPr>
      </w:pPr>
    </w:p>
    <w:tbl>
      <w:tblPr>
        <w:tblStyle w:val="TableGrid"/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65"/>
        <w:gridCol w:w="402"/>
        <w:gridCol w:w="492"/>
        <w:gridCol w:w="492"/>
        <w:gridCol w:w="492"/>
        <w:gridCol w:w="492"/>
        <w:gridCol w:w="492"/>
        <w:gridCol w:w="492"/>
        <w:gridCol w:w="492"/>
        <w:gridCol w:w="541"/>
        <w:gridCol w:w="492"/>
        <w:gridCol w:w="2321"/>
      </w:tblGrid>
      <w:tr w:rsidR="00FB1E2C" w:rsidRPr="00BF2204" w14:paraId="779A16C2" w14:textId="77777777" w:rsidTr="00286D21">
        <w:trPr>
          <w:cantSplit/>
          <w:trHeight w:val="2807"/>
        </w:trPr>
        <w:tc>
          <w:tcPr>
            <w:tcW w:w="2065" w:type="dxa"/>
          </w:tcPr>
          <w:p w14:paraId="0150304B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</w:p>
        </w:tc>
        <w:tc>
          <w:tcPr>
            <w:tcW w:w="402" w:type="dxa"/>
            <w:textDirection w:val="btLr"/>
          </w:tcPr>
          <w:p w14:paraId="7C596FA1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Neighborhood Residence</w:t>
            </w:r>
          </w:p>
        </w:tc>
        <w:tc>
          <w:tcPr>
            <w:tcW w:w="492" w:type="dxa"/>
            <w:textDirection w:val="btLr"/>
          </w:tcPr>
          <w:p w14:paraId="0E1C7126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Urban Residence</w:t>
            </w:r>
          </w:p>
        </w:tc>
        <w:tc>
          <w:tcPr>
            <w:tcW w:w="492" w:type="dxa"/>
            <w:textDirection w:val="btLr"/>
          </w:tcPr>
          <w:p w14:paraId="742D6EFB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3-Story Mixed-Use</w:t>
            </w:r>
          </w:p>
        </w:tc>
        <w:tc>
          <w:tcPr>
            <w:tcW w:w="492" w:type="dxa"/>
            <w:textDirection w:val="btLr"/>
          </w:tcPr>
          <w:p w14:paraId="0E078B86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4-Story Mixed Use</w:t>
            </w:r>
          </w:p>
        </w:tc>
        <w:tc>
          <w:tcPr>
            <w:tcW w:w="492" w:type="dxa"/>
            <w:textDirection w:val="btLr"/>
          </w:tcPr>
          <w:p w14:paraId="52803C5D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5-Story Mixed-Use</w:t>
            </w:r>
          </w:p>
        </w:tc>
        <w:tc>
          <w:tcPr>
            <w:tcW w:w="492" w:type="dxa"/>
            <w:textDirection w:val="btLr"/>
          </w:tcPr>
          <w:p w14:paraId="1C98ADD4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7-Story Mixed-Use</w:t>
            </w:r>
          </w:p>
        </w:tc>
        <w:tc>
          <w:tcPr>
            <w:tcW w:w="492" w:type="dxa"/>
            <w:textDirection w:val="btLr"/>
          </w:tcPr>
          <w:p w14:paraId="28516307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10-Story Mixed Use</w:t>
            </w:r>
          </w:p>
        </w:tc>
        <w:tc>
          <w:tcPr>
            <w:tcW w:w="492" w:type="dxa"/>
            <w:textDirection w:val="btLr"/>
          </w:tcPr>
          <w:p w14:paraId="5550C22F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Fabrication</w:t>
            </w:r>
          </w:p>
        </w:tc>
        <w:tc>
          <w:tcPr>
            <w:tcW w:w="541" w:type="dxa"/>
            <w:textDirection w:val="btLr"/>
          </w:tcPr>
          <w:p w14:paraId="16365939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Commercial Industry</w:t>
            </w:r>
          </w:p>
        </w:tc>
        <w:tc>
          <w:tcPr>
            <w:tcW w:w="492" w:type="dxa"/>
            <w:textDirection w:val="btLr"/>
          </w:tcPr>
          <w:p w14:paraId="3E099282" w14:textId="77777777" w:rsidR="00FB1E2C" w:rsidRPr="00BF2204" w:rsidRDefault="00FB1E2C" w:rsidP="00286D21">
            <w:pPr>
              <w:pStyle w:val="ListParagraph"/>
              <w:ind w:left="113" w:right="113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Civic</w:t>
            </w:r>
          </w:p>
        </w:tc>
        <w:tc>
          <w:tcPr>
            <w:tcW w:w="2321" w:type="dxa"/>
          </w:tcPr>
          <w:p w14:paraId="104664EA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Use Specific Standards</w:t>
            </w:r>
          </w:p>
        </w:tc>
      </w:tr>
      <w:tr w:rsidR="00FB1E2C" w:rsidRPr="00BF2204" w14:paraId="1453E570" w14:textId="77777777" w:rsidTr="00286D21">
        <w:tc>
          <w:tcPr>
            <w:tcW w:w="2065" w:type="dxa"/>
          </w:tcPr>
          <w:p w14:paraId="6D6801B1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Fresh Food Market or Grocery Store</w:t>
            </w:r>
          </w:p>
        </w:tc>
        <w:tc>
          <w:tcPr>
            <w:tcW w:w="402" w:type="dxa"/>
          </w:tcPr>
          <w:p w14:paraId="4A15CED3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L</w:t>
            </w:r>
          </w:p>
        </w:tc>
        <w:tc>
          <w:tcPr>
            <w:tcW w:w="492" w:type="dxa"/>
          </w:tcPr>
          <w:p w14:paraId="41AC414E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L</w:t>
            </w:r>
          </w:p>
        </w:tc>
        <w:tc>
          <w:tcPr>
            <w:tcW w:w="492" w:type="dxa"/>
          </w:tcPr>
          <w:p w14:paraId="08522036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492" w:type="dxa"/>
          </w:tcPr>
          <w:p w14:paraId="51AA670C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492" w:type="dxa"/>
          </w:tcPr>
          <w:p w14:paraId="11401061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492" w:type="dxa"/>
          </w:tcPr>
          <w:p w14:paraId="61C1049F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492" w:type="dxa"/>
          </w:tcPr>
          <w:p w14:paraId="44DB281F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492" w:type="dxa"/>
          </w:tcPr>
          <w:p w14:paraId="269EF75E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N</w:t>
            </w:r>
          </w:p>
        </w:tc>
        <w:tc>
          <w:tcPr>
            <w:tcW w:w="541" w:type="dxa"/>
          </w:tcPr>
          <w:p w14:paraId="3B849D47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proofErr w:type="spellStart"/>
            <w:r w:rsidRPr="00BF2204">
              <w:rPr>
                <w:rFonts w:asciiTheme="majorHAnsi" w:hAnsiTheme="majorHAnsi"/>
                <w:i/>
              </w:rPr>
              <w:t>SP</w:t>
            </w:r>
            <w:proofErr w:type="spellEnd"/>
          </w:p>
        </w:tc>
        <w:tc>
          <w:tcPr>
            <w:tcW w:w="492" w:type="dxa"/>
          </w:tcPr>
          <w:p w14:paraId="6992753F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N</w:t>
            </w:r>
          </w:p>
        </w:tc>
        <w:tc>
          <w:tcPr>
            <w:tcW w:w="2321" w:type="dxa"/>
          </w:tcPr>
          <w:p w14:paraId="32A8E487" w14:textId="77777777" w:rsidR="00FB1E2C" w:rsidRPr="00BF2204" w:rsidRDefault="00FB1E2C" w:rsidP="00286D21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BF2204">
              <w:rPr>
                <w:rFonts w:asciiTheme="majorHAnsi" w:hAnsiTheme="majorHAnsi"/>
                <w:i/>
              </w:rPr>
              <w:t>§5.B.11.d. Fresh Food Market or Grocery</w:t>
            </w:r>
          </w:p>
        </w:tc>
      </w:tr>
    </w:tbl>
    <w:p w14:paraId="7195BDB8" w14:textId="77777777" w:rsidR="00FB1E2C" w:rsidRDefault="00FB1E2C" w:rsidP="00FB1E2C">
      <w:pPr>
        <w:pStyle w:val="ListParagraph"/>
        <w:spacing w:after="0"/>
        <w:ind w:left="1440"/>
        <w:rPr>
          <w:rFonts w:asciiTheme="majorHAnsi" w:hAnsiTheme="majorHAnsi"/>
          <w:i/>
        </w:rPr>
      </w:pPr>
      <w:r w:rsidRPr="00BF2204">
        <w:rPr>
          <w:rFonts w:asciiTheme="majorHAnsi" w:hAnsiTheme="majorHAnsi"/>
          <w:i/>
        </w:rPr>
        <w:t xml:space="preserve">Y: By Right; L: by Right with Limitations; </w:t>
      </w:r>
      <w:proofErr w:type="spellStart"/>
      <w:r w:rsidRPr="00BF2204">
        <w:rPr>
          <w:rFonts w:asciiTheme="majorHAnsi" w:hAnsiTheme="majorHAnsi"/>
          <w:i/>
        </w:rPr>
        <w:t>SP</w:t>
      </w:r>
      <w:proofErr w:type="spellEnd"/>
      <w:r w:rsidRPr="00BF2204">
        <w:rPr>
          <w:rFonts w:asciiTheme="majorHAnsi" w:hAnsiTheme="majorHAnsi"/>
          <w:i/>
        </w:rPr>
        <w:t>: by Special Permit; N: Not Permitted</w:t>
      </w:r>
    </w:p>
    <w:p w14:paraId="189C395A" w14:textId="77777777" w:rsidR="00FB1E2C" w:rsidRPr="00200338" w:rsidRDefault="00FB1E2C" w:rsidP="00FB1E2C">
      <w:pPr>
        <w:pStyle w:val="ListParagraph"/>
        <w:spacing w:after="0"/>
        <w:ind w:left="1440"/>
        <w:rPr>
          <w:rFonts w:asciiTheme="majorHAnsi" w:hAnsiTheme="majorHAnsi"/>
          <w:i/>
        </w:rPr>
      </w:pPr>
    </w:p>
    <w:p w14:paraId="3C50EEC3" w14:textId="77777777" w:rsidR="00FB1E2C" w:rsidRPr="00BB6A6B" w:rsidRDefault="00FB1E2C" w:rsidP="00FB1E2C">
      <w:pPr>
        <w:spacing w:after="0"/>
        <w:rPr>
          <w:rFonts w:asciiTheme="majorHAnsi" w:hAnsiTheme="majorHAnsi"/>
        </w:rPr>
      </w:pPr>
    </w:p>
    <w:p w14:paraId="07E48A1B" w14:textId="77777777" w:rsidR="0099519E" w:rsidRDefault="0099519E"/>
    <w:sectPr w:rsidR="0099519E" w:rsidSect="002D2B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DCA"/>
    <w:multiLevelType w:val="hybridMultilevel"/>
    <w:tmpl w:val="8E90D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C"/>
    <w:rsid w:val="00286D21"/>
    <w:rsid w:val="002D2BD6"/>
    <w:rsid w:val="00377BBF"/>
    <w:rsid w:val="008115D6"/>
    <w:rsid w:val="0099519E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82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2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2C"/>
    <w:pPr>
      <w:ind w:left="720"/>
      <w:contextualSpacing/>
    </w:pPr>
  </w:style>
  <w:style w:type="table" w:styleId="TableGrid">
    <w:name w:val="Table Grid"/>
    <w:basedOn w:val="TableNormal"/>
    <w:uiPriority w:val="39"/>
    <w:rsid w:val="00FB1E2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2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2C"/>
    <w:pPr>
      <w:ind w:left="720"/>
      <w:contextualSpacing/>
    </w:pPr>
  </w:style>
  <w:style w:type="table" w:styleId="TableGrid">
    <w:name w:val="Table Grid"/>
    <w:basedOn w:val="TableNormal"/>
    <w:uiPriority w:val="39"/>
    <w:rsid w:val="00FB1E2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1989</Characters>
  <Application>Microsoft Macintosh Word</Application>
  <DocSecurity>0</DocSecurity>
  <Lines>16</Lines>
  <Paragraphs>4</Paragraphs>
  <ScaleCrop>false</ScaleCrop>
  <Company>PVPC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Sussman</dc:creator>
  <cp:keywords/>
  <dc:description/>
  <cp:lastModifiedBy>Dillon Sussman</cp:lastModifiedBy>
  <cp:revision>3</cp:revision>
  <dcterms:created xsi:type="dcterms:W3CDTF">2016-09-27T15:32:00Z</dcterms:created>
  <dcterms:modified xsi:type="dcterms:W3CDTF">2016-09-27T15:47:00Z</dcterms:modified>
</cp:coreProperties>
</file>